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17E635BF" w:rsidR="009E7547">
        <w:rPr>
          <w:rFonts w:ascii="Calibri" w:hAnsi="Calibri" w:cs="Calibri" w:asciiTheme="minorAscii" w:hAnsiTheme="minorAscii" w:cstheme="minorAscii"/>
          <w:b w:val="1"/>
          <w:bCs w:val="1"/>
          <w:sz w:val="22"/>
          <w:szCs w:val="22"/>
          <w:lang w:val="en-US"/>
        </w:rPr>
        <w:t>(the “</w:t>
      </w:r>
      <w:r w:rsidRPr="17E635BF" w:rsidR="00A572D5">
        <w:rPr>
          <w:rFonts w:ascii="Calibri" w:hAnsi="Calibri" w:cs="Calibri" w:asciiTheme="minorAscii" w:hAnsiTheme="minorAscii" w:cstheme="minorAscii"/>
          <w:b w:val="1"/>
          <w:bCs w:val="1"/>
          <w:sz w:val="22"/>
          <w:szCs w:val="22"/>
          <w:lang w:val="en-US"/>
        </w:rPr>
        <w:t>C</w:t>
      </w:r>
      <w:r w:rsidRPr="17E635BF" w:rsidR="009E7547">
        <w:rPr>
          <w:rFonts w:ascii="Calibri" w:hAnsi="Calibri" w:cs="Calibri" w:asciiTheme="minorAscii" w:hAnsiTheme="minorAscii" w:cstheme="minorAscii"/>
          <w:b w:val="1"/>
          <w:bCs w:val="1"/>
          <w:sz w:val="22"/>
          <w:szCs w:val="22"/>
          <w:lang w:val="en-US"/>
        </w:rPr>
        <w:t>lient”)</w:t>
      </w:r>
    </w:p>
    <w:p w:rsidR="440B3DE4" w:rsidP="17E635BF" w:rsidRDefault="440B3DE4" w14:paraId="2BC8074E" w14:textId="11BC5DF4">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 xml:space="preserve">Borgergade 10, 3. sal </w:t>
      </w:r>
    </w:p>
    <w:p w:rsidR="440B3DE4" w:rsidP="17E635BF" w:rsidRDefault="440B3DE4" w14:paraId="5050A2D5" w14:textId="29A94BCB">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 xml:space="preserve">1300 København K </w:t>
      </w:r>
    </w:p>
    <w:p w:rsidR="440B3DE4" w:rsidP="17E635BF" w:rsidRDefault="440B3DE4" w14:paraId="43F6D0F7" w14:textId="6084FC34">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Danmark</w:t>
      </w:r>
    </w:p>
    <w:p w:rsidR="17E635BF" w:rsidP="17E635BF" w:rsidRDefault="17E635BF" w14:paraId="19572A1A" w14:textId="155BCE54">
      <w:pPr>
        <w:pStyle w:val="Default"/>
        <w:ind w:left="1440" w:firstLine="720"/>
        <w:rPr>
          <w:rFonts w:ascii="Calibri" w:hAnsi="Calibri" w:eastAsia="Calibri" w:cs="Arial" w:asciiTheme="minorAscii" w:hAnsiTheme="minorAscii" w:eastAsiaTheme="minorAscii" w:cstheme="minorBidi"/>
          <w:b w:val="1"/>
          <w:bCs w:val="1"/>
          <w:color w:val="auto"/>
          <w:sz w:val="22"/>
          <w:szCs w:val="22"/>
          <w:highlight w:val="yellow"/>
          <w:lang w:val="en-US"/>
        </w:rPr>
      </w:pP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17E635BF" w:rsidRDefault="00CF1F06" w14:paraId="54943420" w14:textId="7F9E4CD7">
      <w:pPr>
        <w:pStyle w:val="Normal"/>
        <w:jc w:val="both"/>
      </w:pPr>
      <w:r w:rsidRPr="17E635BF"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17E635BF" w:rsidR="4B911F68">
        <w:rPr>
          <w:b w:val="1"/>
          <w:bCs w:val="1"/>
        </w:rPr>
        <w:t>DKHQ_RFP_PR_00241063</w:t>
      </w:r>
      <w:r w:rsidR="4B911F68">
        <w:rPr/>
        <w:t>,</w:t>
      </w:r>
      <w:r w:rsidR="0659537F">
        <w:rPr/>
        <w:t xml:space="preserve"> </w:t>
      </w:r>
      <w:r w:rsidR="00DC75FC">
        <w:rPr/>
        <w:t xml:space="preserve">specifically </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to conduct a real-time review of the Somali diaspora response</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to crise</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s</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in hard-to-reach areas in Somalia</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lastRenderedPageBreak/>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659537F"/>
    <w:rsid w:val="1378672B"/>
    <w:rsid w:val="17E635BF"/>
    <w:rsid w:val="440B3DE4"/>
    <w:rsid w:val="4B911F68"/>
    <w:rsid w:val="56807E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7fb8bf69732a43a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5267715-2213-4ffa-90ba-3d013234cde4}"/>
      </w:docPartPr>
      <w:docPartBody>
        <w:p w14:paraId="0681DA1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4D29C72-B021-4CC8-BAF1-219BFF8416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2023-05-08T13:52:44Z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